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2FD" w14:textId="77777777" w:rsidR="00EE55AA" w:rsidRDefault="008B368C" w:rsidP="00EE55AA">
      <w:pPr>
        <w:tabs>
          <w:tab w:val="center" w:pos="245"/>
          <w:tab w:val="center" w:pos="5062"/>
        </w:tabs>
        <w:spacing w:after="0" w:line="259" w:lineRule="auto"/>
        <w:ind w:left="0" w:right="0" w:firstLine="0"/>
        <w:jc w:val="left"/>
        <w:rPr>
          <w:sz w:val="37"/>
          <w:vertAlign w:val="superscript"/>
        </w:rPr>
      </w:pPr>
      <w:r>
        <w:rPr>
          <w:rFonts w:ascii="Calibri" w:eastAsia="Calibri" w:hAnsi="Calibri" w:cs="Calibri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</w:p>
    <w:p w14:paraId="17E8B967" w14:textId="77777777" w:rsidR="00CD19DF" w:rsidRDefault="008B368C" w:rsidP="00EE55AA">
      <w:pPr>
        <w:tabs>
          <w:tab w:val="center" w:pos="245"/>
          <w:tab w:val="center" w:pos="5062"/>
        </w:tabs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61D50B3" w14:textId="77777777" w:rsidR="00CD19DF" w:rsidRDefault="008B368C">
      <w:pPr>
        <w:spacing w:after="0" w:line="259" w:lineRule="auto"/>
        <w:ind w:left="245" w:right="0" w:firstLine="0"/>
        <w:jc w:val="left"/>
      </w:pPr>
      <w:r>
        <w:rPr>
          <w:sz w:val="24"/>
        </w:rPr>
        <w:t xml:space="preserve"> </w:t>
      </w:r>
    </w:p>
    <w:p w14:paraId="3DADCA47" w14:textId="77777777" w:rsidR="00CD19DF" w:rsidRDefault="008B368C">
      <w:pPr>
        <w:tabs>
          <w:tab w:val="center" w:pos="245"/>
          <w:tab w:val="center" w:pos="953"/>
          <w:tab w:val="center" w:pos="1661"/>
          <w:tab w:val="center" w:pos="2369"/>
          <w:tab w:val="center" w:pos="3077"/>
          <w:tab w:val="center" w:pos="3785"/>
          <w:tab w:val="center" w:pos="4493"/>
          <w:tab w:val="center" w:pos="5201"/>
          <w:tab w:val="center" w:pos="5909"/>
          <w:tab w:val="center" w:pos="815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Alla Pubblicità Legale (albo)  </w:t>
      </w:r>
    </w:p>
    <w:p w14:paraId="4F35EB2C" w14:textId="77777777" w:rsidR="00CD19DF" w:rsidRDefault="008B368C">
      <w:pPr>
        <w:spacing w:after="0" w:line="259" w:lineRule="auto"/>
        <w:ind w:left="0" w:right="419" w:firstLine="0"/>
        <w:jc w:val="right"/>
      </w:pPr>
      <w:r>
        <w:t xml:space="preserve">       Al sito web (amministrazione trasparente)   </w:t>
      </w:r>
    </w:p>
    <w:p w14:paraId="628BC79B" w14:textId="184AA256" w:rsidR="00CD19DF" w:rsidRDefault="008B368C">
      <w:pPr>
        <w:spacing w:after="149"/>
        <w:ind w:left="5633" w:right="348" w:hanging="2251"/>
      </w:pPr>
      <w:r>
        <w:t xml:space="preserve">                                                    Agli atti della scuola   </w:t>
      </w:r>
    </w:p>
    <w:p w14:paraId="024286C0" w14:textId="77777777" w:rsidR="00EE55AA" w:rsidRDefault="00EE55AA">
      <w:pPr>
        <w:spacing w:after="149"/>
        <w:ind w:left="5633" w:right="348" w:hanging="2251"/>
      </w:pPr>
    </w:p>
    <w:p w14:paraId="2775703C" w14:textId="1AD561D0" w:rsidR="00CD19DF" w:rsidRDefault="008B3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1" w:line="259" w:lineRule="auto"/>
        <w:ind w:left="0" w:right="52" w:firstLine="0"/>
        <w:jc w:val="center"/>
      </w:pPr>
      <w:r>
        <w:t>NOMINA RESPONSABILE DELLA TRANSIZIONE DIGITALE</w:t>
      </w:r>
    </w:p>
    <w:p w14:paraId="789A2225" w14:textId="77777777" w:rsidR="00EE55AA" w:rsidRDefault="00EE55AA" w:rsidP="00EE55AA">
      <w:pPr>
        <w:spacing w:after="0" w:line="384" w:lineRule="auto"/>
        <w:ind w:left="230" w:right="1888" w:firstLine="0"/>
        <w:jc w:val="left"/>
        <w:rPr>
          <w:b/>
        </w:rPr>
      </w:pPr>
    </w:p>
    <w:p w14:paraId="34410BB1" w14:textId="77777777" w:rsidR="008B368C" w:rsidRDefault="008B368C" w:rsidP="00EE55AA">
      <w:pPr>
        <w:spacing w:after="0" w:line="384" w:lineRule="auto"/>
        <w:ind w:left="230" w:right="1888" w:firstLine="0"/>
        <w:jc w:val="left"/>
        <w:rPr>
          <w:b/>
        </w:rPr>
      </w:pPr>
      <w:r>
        <w:rPr>
          <w:b/>
        </w:rPr>
        <w:t xml:space="preserve">IL DIRIGENTE SCOLASTICO  </w:t>
      </w:r>
    </w:p>
    <w:p w14:paraId="0E640133" w14:textId="77777777" w:rsidR="008B368C" w:rsidRDefault="008B368C" w:rsidP="00EE55AA">
      <w:pPr>
        <w:spacing w:after="0" w:line="384" w:lineRule="auto"/>
        <w:ind w:left="230" w:right="1888" w:firstLine="0"/>
        <w:jc w:val="left"/>
        <w:rPr>
          <w:b/>
        </w:rPr>
      </w:pPr>
    </w:p>
    <w:p w14:paraId="5F5F68FD" w14:textId="3E6A4849" w:rsidR="00CD19DF" w:rsidRDefault="008B368C" w:rsidP="00EE55AA">
      <w:pPr>
        <w:spacing w:after="0" w:line="384" w:lineRule="auto"/>
        <w:ind w:left="230" w:right="1888" w:firstLine="0"/>
        <w:jc w:val="left"/>
        <w:rPr>
          <w:b/>
        </w:rPr>
      </w:pPr>
      <w:r>
        <w:rPr>
          <w:b/>
        </w:rPr>
        <w:t xml:space="preserve">PREMESSO CHE  </w:t>
      </w:r>
    </w:p>
    <w:p w14:paraId="085B6274" w14:textId="77777777" w:rsidR="00EE55AA" w:rsidRDefault="00EE55AA" w:rsidP="00EE55AA">
      <w:pPr>
        <w:spacing w:after="0" w:line="384" w:lineRule="auto"/>
        <w:ind w:left="230" w:right="1888" w:firstLine="0"/>
        <w:jc w:val="left"/>
      </w:pPr>
    </w:p>
    <w:p w14:paraId="6A4B9EC7" w14:textId="77777777" w:rsidR="00CD19DF" w:rsidRDefault="008B368C">
      <w:pPr>
        <w:numPr>
          <w:ilvl w:val="0"/>
          <w:numId w:val="1"/>
        </w:numPr>
        <w:spacing w:after="123" w:line="359" w:lineRule="auto"/>
        <w:ind w:right="377" w:hanging="281"/>
      </w:pPr>
      <w:r>
        <w:t xml:space="preserve">il Codice dell’amministrazione digitale (CAD) di cui al d.lgs. 82/2005 è stato ampiamente modificato dal d.lgs. 179/2016, attuativo dell’art. 1 della Legge 124 del 7 agosto 2015 di riforma della Pubblica Amministrazione (cd. Legge Madia);  </w:t>
      </w:r>
    </w:p>
    <w:p w14:paraId="72173592" w14:textId="77777777" w:rsidR="00CD19DF" w:rsidRDefault="008B368C">
      <w:pPr>
        <w:numPr>
          <w:ilvl w:val="0"/>
          <w:numId w:val="1"/>
        </w:numPr>
        <w:spacing w:after="122" w:line="360" w:lineRule="auto"/>
        <w:ind w:right="377" w:hanging="281"/>
      </w:pPr>
      <w:r>
        <w:t>L’art. 17, comm</w:t>
      </w:r>
      <w:r>
        <w:t xml:space="preserve">a 1, del CAD, introdotto dal </w:t>
      </w:r>
      <w:proofErr w:type="spellStart"/>
      <w:r>
        <w:t>D.Lgs</w:t>
      </w:r>
      <w:proofErr w:type="spellEnd"/>
      <w:r>
        <w:t xml:space="preserve"> 179/2016, stabilisce che ciascuna pubblica amministrazione è tenuta ad affidare ad un unico ufficio dirigenziale, fermo restando il numero complessivo degli uffici, la “</w:t>
      </w:r>
      <w:r>
        <w:rPr>
          <w:i/>
        </w:rPr>
        <w:t>transizione alla modalità operativa digitale e i con</w:t>
      </w:r>
      <w:r>
        <w:rPr>
          <w:i/>
        </w:rPr>
        <w:t>seguenti processi di riorganizzazione finalizzati alla realizzazione di un’amministrazione digitale e aperta, di servizi facilmente utilizzabili e di qualità, attraverso una maggiore efficienza ed economicità”</w:t>
      </w:r>
      <w:r>
        <w:t xml:space="preserve"> </w:t>
      </w:r>
    </w:p>
    <w:p w14:paraId="5555A975" w14:textId="77777777" w:rsidR="008B368C" w:rsidRPr="008B368C" w:rsidRDefault="008B368C" w:rsidP="008B368C">
      <w:pPr>
        <w:spacing w:after="123" w:line="360" w:lineRule="auto"/>
        <w:ind w:left="341" w:right="377" w:firstLine="0"/>
        <w:rPr>
          <w:b/>
          <w:bCs/>
        </w:rPr>
      </w:pPr>
    </w:p>
    <w:p w14:paraId="5056C2DE" w14:textId="77777777" w:rsidR="008B368C" w:rsidRPr="008B368C" w:rsidRDefault="008B368C" w:rsidP="008B368C">
      <w:pPr>
        <w:spacing w:after="123" w:line="360" w:lineRule="auto"/>
        <w:ind w:left="341" w:right="377" w:firstLine="0"/>
        <w:rPr>
          <w:b/>
          <w:bCs/>
        </w:rPr>
      </w:pPr>
      <w:r w:rsidRPr="008B368C">
        <w:rPr>
          <w:b/>
          <w:bCs/>
        </w:rPr>
        <w:t xml:space="preserve">DATO ATTO </w:t>
      </w:r>
    </w:p>
    <w:p w14:paraId="7F6F16D9" w14:textId="5252DF8B" w:rsidR="00CD19DF" w:rsidRDefault="008B368C" w:rsidP="008B368C">
      <w:pPr>
        <w:spacing w:after="123" w:line="360" w:lineRule="auto"/>
        <w:ind w:left="341" w:right="377" w:firstLine="0"/>
      </w:pPr>
      <w:r>
        <w:t>che l’Art. 17 del CAD disciplina pu</w:t>
      </w:r>
      <w:r>
        <w:t xml:space="preserve">ntualmente la figura del “Responsabile della transizione digitale” cui sono attribuiti importanti compiti di coordinamento e di impulso ai processi di reingegnerizzazione dei servizi, quali in particolare:  </w:t>
      </w:r>
    </w:p>
    <w:p w14:paraId="63CC89ED" w14:textId="77777777" w:rsidR="00CD19DF" w:rsidRDefault="008B368C">
      <w:pPr>
        <w:numPr>
          <w:ilvl w:val="1"/>
          <w:numId w:val="1"/>
        </w:numPr>
        <w:ind w:right="265" w:hanging="348"/>
      </w:pPr>
      <w:r>
        <w:t>coordinamento strategico dello sviluppo dei sist</w:t>
      </w:r>
      <w:r>
        <w:t xml:space="preserve">emi informativi, di telecomunicazione e fonia, in modo da assicurare anche la coerenza con gli standard tecnici e organizzativi comuni;  </w:t>
      </w:r>
    </w:p>
    <w:p w14:paraId="38D4361E" w14:textId="77777777" w:rsidR="00CD19DF" w:rsidRDefault="008B368C">
      <w:pPr>
        <w:numPr>
          <w:ilvl w:val="1"/>
          <w:numId w:val="1"/>
        </w:numPr>
        <w:ind w:right="265" w:hanging="348"/>
      </w:pPr>
      <w:r>
        <w:t>indirizzo e coordinamento dello sviluppo dei servizi, sia interni che esterni, forniti dai sistemi informativi di tele</w:t>
      </w:r>
      <w:r>
        <w:t xml:space="preserve">comunicazione e fonia dell'amministrazione;  </w:t>
      </w:r>
    </w:p>
    <w:p w14:paraId="402D01C1" w14:textId="77777777" w:rsidR="00CD19DF" w:rsidRDefault="008B368C">
      <w:pPr>
        <w:numPr>
          <w:ilvl w:val="1"/>
          <w:numId w:val="1"/>
        </w:numPr>
        <w:ind w:right="265" w:hanging="348"/>
      </w:pPr>
      <w:r>
        <w:t>indirizzo, pianificazione, coordinamento e monitoraggio della sicurezza informatica relativamente ai dati, ai sistemi e alle infrastrutture anche in relazione al sistema pubblico di connettività, nel rispetto d</w:t>
      </w:r>
      <w:r>
        <w:t xml:space="preserve">elle regole tecniche di cui all'Articolo 51, comma 1;   </w:t>
      </w:r>
    </w:p>
    <w:p w14:paraId="5747D5DC" w14:textId="77777777" w:rsidR="00EE55AA" w:rsidRDefault="008B368C" w:rsidP="00EE55AA">
      <w:pPr>
        <w:numPr>
          <w:ilvl w:val="1"/>
          <w:numId w:val="1"/>
        </w:numPr>
        <w:spacing w:after="495"/>
        <w:ind w:right="265" w:hanging="348"/>
      </w:pPr>
      <w:r>
        <w:t xml:space="preserve">accesso dei soggetti disabili agli strumenti informatici e promozione dell’accessibilità anche in attuazione di quanto previsto dalla Legge 9 gennaio 2004, n. 4;  </w:t>
      </w:r>
    </w:p>
    <w:p w14:paraId="58CB753D" w14:textId="2B7EA3A7" w:rsidR="00CD19DF" w:rsidRDefault="008B368C" w:rsidP="00EE55AA">
      <w:pPr>
        <w:numPr>
          <w:ilvl w:val="1"/>
          <w:numId w:val="1"/>
        </w:numPr>
        <w:spacing w:after="495"/>
        <w:ind w:right="265" w:hanging="348"/>
      </w:pPr>
      <w:r>
        <w:lastRenderedPageBreak/>
        <w:t xml:space="preserve">analisi periodica della coerenza tra l'organizzazione dell'amministrazione e </w:t>
      </w:r>
      <w:r>
        <w:t>l'utilizzo delle tecnologie dell'informazione e della comunicazione, al fine di migliorare la soddisfazione dell'u</w:t>
      </w:r>
      <w:r>
        <w:t xml:space="preserve">tenza e la qualità dei servizi nonché di ridurre i tempi e i costi dell'azione amministrativa;  </w:t>
      </w:r>
    </w:p>
    <w:p w14:paraId="105D993A" w14:textId="77777777" w:rsidR="00CD19DF" w:rsidRDefault="008B368C">
      <w:pPr>
        <w:numPr>
          <w:ilvl w:val="0"/>
          <w:numId w:val="2"/>
        </w:numPr>
        <w:ind w:right="265" w:hanging="348"/>
      </w:pPr>
      <w:r>
        <w:t>c</w:t>
      </w:r>
      <w:r>
        <w:t xml:space="preserve">ooperazione alla revisione della riorganizzazione dell'amministrazione ai fini di cui alla lettera e);  </w:t>
      </w:r>
    </w:p>
    <w:p w14:paraId="71CC0768" w14:textId="77777777" w:rsidR="00CD19DF" w:rsidRDefault="008B368C">
      <w:pPr>
        <w:numPr>
          <w:ilvl w:val="0"/>
          <w:numId w:val="2"/>
        </w:numPr>
        <w:ind w:right="265" w:hanging="348"/>
      </w:pPr>
      <w:r>
        <w:t>indirizzo, coordinamento e monitoraggio della pianifi</w:t>
      </w:r>
      <w:r>
        <w:t xml:space="preserve">cazione prevista per lo sviluppo e la gestione dei sistemi informativi di telecomunicazione e fonia;  </w:t>
      </w:r>
    </w:p>
    <w:p w14:paraId="3B45099B" w14:textId="77777777" w:rsidR="00CD19DF" w:rsidRDefault="008B368C">
      <w:pPr>
        <w:numPr>
          <w:ilvl w:val="0"/>
          <w:numId w:val="2"/>
        </w:numPr>
        <w:ind w:right="265" w:hanging="348"/>
      </w:pPr>
      <w:r>
        <w:t>progettazione e coordinamento delle iniziative rilevanti ai fini di una più efficace erogazione di servizi in rete a cittadini e imprese mediante gli str</w:t>
      </w:r>
      <w:r>
        <w:t xml:space="preserve">umenti della cooperazione applicativa tra pubbliche amministrazioni, ivi inclusa la predisposizione e l'attuazione di accordi di servizio tra amministrazioni per la realizzazione e compartecipazione dei sistemi informativi cooperativi;  </w:t>
      </w:r>
    </w:p>
    <w:p w14:paraId="628E5DA4" w14:textId="77777777" w:rsidR="00CD19DF" w:rsidRDefault="008B368C">
      <w:pPr>
        <w:numPr>
          <w:ilvl w:val="0"/>
          <w:numId w:val="2"/>
        </w:numPr>
        <w:ind w:right="265" w:hanging="348"/>
      </w:pPr>
      <w:r>
        <w:t>promozione delle i</w:t>
      </w:r>
      <w:r>
        <w:t xml:space="preserve">niziative attinenti </w:t>
      </w:r>
      <w:proofErr w:type="gramStart"/>
      <w:r>
        <w:t>l'attuazione</w:t>
      </w:r>
      <w:proofErr w:type="gramEnd"/>
      <w:r>
        <w:t xml:space="preserve"> delle direttive impartite dal Presidente del Consiglio dei Ministri o dal Ministro delegato per l'innovazione e le tecnologie;  </w:t>
      </w:r>
    </w:p>
    <w:p w14:paraId="0AAB50B8" w14:textId="6EF7E484" w:rsidR="00CD19DF" w:rsidRDefault="008B368C">
      <w:pPr>
        <w:numPr>
          <w:ilvl w:val="0"/>
          <w:numId w:val="2"/>
        </w:numPr>
        <w:spacing w:after="155"/>
        <w:ind w:right="265" w:hanging="348"/>
      </w:pPr>
      <w:r>
        <w:t>pianificazione e coordinamento del processo di diffusione, all'interno dell'amministrazione, dei sistemi di posta elettronica, protocollo informatico, firma digitale o firma elettronica qualificata e mandato informatico, e delle norme in materia di accessi</w:t>
      </w:r>
      <w:r>
        <w:t xml:space="preserve">bilità e fruibilità.  </w:t>
      </w:r>
    </w:p>
    <w:p w14:paraId="37067DCF" w14:textId="77777777" w:rsidR="00EE55AA" w:rsidRDefault="00EE55AA" w:rsidP="008B368C">
      <w:pPr>
        <w:spacing w:after="155"/>
        <w:ind w:left="945" w:right="265" w:firstLine="0"/>
      </w:pPr>
    </w:p>
    <w:p w14:paraId="69446B26" w14:textId="4F0A6386" w:rsidR="00CD19DF" w:rsidRDefault="008B368C">
      <w:pPr>
        <w:spacing w:after="0" w:line="259" w:lineRule="auto"/>
        <w:ind w:left="240" w:right="1888" w:hanging="10"/>
        <w:jc w:val="left"/>
        <w:rPr>
          <w:b/>
        </w:rPr>
      </w:pPr>
      <w:r>
        <w:rPr>
          <w:b/>
        </w:rPr>
        <w:t xml:space="preserve">CONSIDERATO CHE  </w:t>
      </w:r>
    </w:p>
    <w:p w14:paraId="5C98DA34" w14:textId="77777777" w:rsidR="00EE55AA" w:rsidRDefault="00EE55AA">
      <w:pPr>
        <w:spacing w:after="0" w:line="259" w:lineRule="auto"/>
        <w:ind w:left="240" w:right="1888" w:hanging="10"/>
        <w:jc w:val="left"/>
      </w:pPr>
    </w:p>
    <w:p w14:paraId="00CF7583" w14:textId="48622F2E" w:rsidR="00CD19DF" w:rsidRDefault="008B368C">
      <w:pPr>
        <w:numPr>
          <w:ilvl w:val="0"/>
          <w:numId w:val="3"/>
        </w:numPr>
        <w:spacing w:after="123" w:line="360" w:lineRule="auto"/>
        <w:ind w:right="379" w:hanging="281"/>
      </w:pPr>
      <w:r>
        <w:t xml:space="preserve">Con Decreto Ministeriale n. 529 del </w:t>
      </w:r>
      <w:r w:rsidR="00EE55AA">
        <w:t>1° agosto</w:t>
      </w:r>
      <w:r>
        <w:t xml:space="preserve"> 2017 il MIUR ha individuato il proprio Responsabile Transizione Digitale nella persona del Direttore generale della Direzione Generale per i contratti, gli acquisti e per</w:t>
      </w:r>
      <w:r>
        <w:t xml:space="preserve"> i sistemi informativi e la statistica;  </w:t>
      </w:r>
    </w:p>
    <w:p w14:paraId="31DBDADD" w14:textId="77777777" w:rsidR="00CD19DF" w:rsidRDefault="008B368C">
      <w:pPr>
        <w:numPr>
          <w:ilvl w:val="0"/>
          <w:numId w:val="3"/>
        </w:numPr>
        <w:spacing w:after="243" w:line="360" w:lineRule="auto"/>
        <w:ind w:right="379" w:hanging="281"/>
      </w:pPr>
      <w:r>
        <w:t>Con nota n. 2260 del 5/12/2019, anche in seguito alle interlocuzioni intercorse con AGID, il MIUR ha ritenuto opportuno che il Responsabile della Transizione Digitale del MIUR ricopra tale ruolo anche per le Istitu</w:t>
      </w:r>
      <w:r>
        <w:t xml:space="preserve">zioni scolastiche </w:t>
      </w:r>
      <w:proofErr w:type="gramStart"/>
      <w:r>
        <w:t>ed</w:t>
      </w:r>
      <w:proofErr w:type="gramEnd"/>
      <w:r>
        <w:t xml:space="preserve"> educative statali, secondo quanto previsto dall’art. 17, comma 1-septies. </w:t>
      </w:r>
    </w:p>
    <w:p w14:paraId="5A681392" w14:textId="77777777" w:rsidR="00CD19DF" w:rsidRDefault="008B368C">
      <w:pPr>
        <w:pStyle w:val="Titolo2"/>
        <w:spacing w:after="238" w:line="259" w:lineRule="auto"/>
        <w:ind w:left="0" w:right="48" w:firstLine="0"/>
      </w:pPr>
      <w:r>
        <w:t xml:space="preserve">INDIVIDUA  </w:t>
      </w:r>
    </w:p>
    <w:p w14:paraId="3FC6EA4E" w14:textId="77777777" w:rsidR="00EE55AA" w:rsidRDefault="008B368C">
      <w:pPr>
        <w:spacing w:after="27" w:line="239" w:lineRule="auto"/>
        <w:ind w:left="240" w:right="194" w:firstLine="0"/>
        <w:jc w:val="left"/>
      </w:pPr>
      <w:r>
        <w:t>Il Direttore generale della Direzione Generale per i contratti, gli acquisti e per i sistemi informativi e la statistica del MIUR quale Responsabile</w:t>
      </w:r>
      <w:r>
        <w:t xml:space="preserve"> della transizione alla modalità operativa digitale, cui sono affidati i conseguenti processi di riorganizzazione, finalizzati alla realizzazione di un'amministrazione digitale e aperta, di servizi facilmente utilizzabili e di qualità, attraverso una maggi</w:t>
      </w:r>
      <w:r>
        <w:t xml:space="preserve">ore efficienza ed economicità.  </w:t>
      </w:r>
    </w:p>
    <w:p w14:paraId="18B1CB52" w14:textId="77777777" w:rsidR="00EE55AA" w:rsidRDefault="00EE55AA">
      <w:pPr>
        <w:spacing w:after="27" w:line="239" w:lineRule="auto"/>
        <w:ind w:left="240" w:right="194" w:firstLine="0"/>
        <w:jc w:val="left"/>
      </w:pPr>
    </w:p>
    <w:p w14:paraId="65C3B1B9" w14:textId="4D177A0B" w:rsidR="00CD19DF" w:rsidRDefault="008B368C">
      <w:pPr>
        <w:spacing w:after="27" w:line="239" w:lineRule="auto"/>
        <w:ind w:left="240" w:right="194" w:firstLine="0"/>
        <w:jc w:val="left"/>
      </w:pPr>
      <w:r>
        <w:rPr>
          <w:b/>
        </w:rPr>
        <w:t xml:space="preserve">Si dispone: </w:t>
      </w:r>
    </w:p>
    <w:p w14:paraId="1F85FB19" w14:textId="77777777" w:rsidR="00CD19DF" w:rsidRDefault="008B368C">
      <w:pPr>
        <w:numPr>
          <w:ilvl w:val="0"/>
          <w:numId w:val="4"/>
        </w:numPr>
        <w:ind w:right="265" w:hanging="341"/>
      </w:pPr>
      <w:r>
        <w:t xml:space="preserve">La pubblicazione del presente atto all’albo </w:t>
      </w:r>
    </w:p>
    <w:p w14:paraId="71FEAF58" w14:textId="77777777" w:rsidR="00CD19DF" w:rsidRDefault="008B368C">
      <w:pPr>
        <w:numPr>
          <w:ilvl w:val="0"/>
          <w:numId w:val="4"/>
        </w:numPr>
        <w:ind w:right="265" w:hanging="341"/>
      </w:pPr>
      <w:r>
        <w:t xml:space="preserve">La pubblicazione del presente atto in Amministrazione Trasparenza sezione </w:t>
      </w:r>
      <w:r>
        <w:rPr>
          <w:i/>
        </w:rPr>
        <w:t>atti generali/ atti amministrativi generali</w:t>
      </w:r>
      <w:r>
        <w:t xml:space="preserve"> </w:t>
      </w:r>
    </w:p>
    <w:p w14:paraId="5299A4D3" w14:textId="77777777" w:rsidR="00CD19DF" w:rsidRDefault="008B368C">
      <w:pPr>
        <w:numPr>
          <w:ilvl w:val="0"/>
          <w:numId w:val="4"/>
        </w:numPr>
        <w:ind w:right="265" w:hanging="341"/>
      </w:pPr>
      <w:r>
        <w:t xml:space="preserve">La pubblicazione del nome dell’RTD nell’indice </w:t>
      </w:r>
      <w:r>
        <w:t xml:space="preserve">IPA </w:t>
      </w:r>
    </w:p>
    <w:p w14:paraId="6B55152E" w14:textId="77777777" w:rsidR="00CD19DF" w:rsidRDefault="008B368C">
      <w:pPr>
        <w:spacing w:after="0" w:line="259" w:lineRule="auto"/>
        <w:ind w:left="245" w:right="0" w:firstLine="0"/>
        <w:jc w:val="left"/>
      </w:pPr>
      <w:r>
        <w:t xml:space="preserve"> </w:t>
      </w:r>
    </w:p>
    <w:p w14:paraId="74F89E26" w14:textId="0990834B" w:rsidR="00CD19DF" w:rsidRDefault="00EE55AA">
      <w:pPr>
        <w:tabs>
          <w:tab w:val="center" w:pos="1724"/>
          <w:tab w:val="center" w:pos="5347"/>
          <w:tab w:val="center" w:pos="5909"/>
          <w:tab w:val="center" w:pos="7876"/>
        </w:tabs>
        <w:ind w:left="0" w:right="0" w:firstLine="0"/>
        <w:jc w:val="left"/>
      </w:pPr>
      <w:r>
        <w:lastRenderedPageBreak/>
        <w:t>________________</w:t>
      </w:r>
      <w:r w:rsidR="008B368C">
        <w:t xml:space="preserve">, </w:t>
      </w:r>
      <w:r>
        <w:t>lì ________</w:t>
      </w:r>
      <w:r w:rsidR="008B368C">
        <w:t xml:space="preserve">   </w:t>
      </w:r>
      <w:r w:rsidR="008B368C">
        <w:tab/>
        <w:t xml:space="preserve"> </w:t>
      </w:r>
      <w:r w:rsidR="008B368C">
        <w:tab/>
        <w:t xml:space="preserve"> </w:t>
      </w:r>
      <w:r w:rsidR="008B368C">
        <w:tab/>
      </w:r>
      <w:r>
        <w:t>Il</w:t>
      </w:r>
      <w:r w:rsidR="008B368C">
        <w:t xml:space="preserve"> Dirigente Scolastica </w:t>
      </w:r>
    </w:p>
    <w:p w14:paraId="4B219C10" w14:textId="15F57754" w:rsidR="00CD19DF" w:rsidRDefault="008B368C" w:rsidP="00EE55AA">
      <w:pPr>
        <w:spacing w:after="0" w:line="259" w:lineRule="auto"/>
        <w:ind w:left="245" w:right="0" w:firstLine="0"/>
        <w:jc w:val="left"/>
      </w:pPr>
      <w:r>
        <w:t xml:space="preserve"> </w:t>
      </w:r>
    </w:p>
    <w:sectPr w:rsidR="00CD19DF" w:rsidSect="00EE55AA">
      <w:pgSz w:w="11900" w:h="16840"/>
      <w:pgMar w:top="709" w:right="888" w:bottom="851" w:left="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3B1"/>
    <w:multiLevelType w:val="hybridMultilevel"/>
    <w:tmpl w:val="92984006"/>
    <w:lvl w:ilvl="0" w:tplc="A84CF84C">
      <w:start w:val="1"/>
      <w:numFmt w:val="bullet"/>
      <w:lvlText w:val="-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0FEC6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E878C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AAA9E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41A08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2A416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AA8E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9468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8883C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442B3"/>
    <w:multiLevelType w:val="hybridMultilevel"/>
    <w:tmpl w:val="43EABAA0"/>
    <w:lvl w:ilvl="0" w:tplc="371EF13C">
      <w:start w:val="1"/>
      <w:numFmt w:val="bullet"/>
      <w:lvlText w:val="-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CB6D4">
      <w:start w:val="1"/>
      <w:numFmt w:val="lowerLetter"/>
      <w:lvlText w:val="%2)"/>
      <w:lvlJc w:val="left"/>
      <w:pPr>
        <w:ind w:left="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E09D0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826CC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2CCCE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C457C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82BDC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0936E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CD2CC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E3964"/>
    <w:multiLevelType w:val="hybridMultilevel"/>
    <w:tmpl w:val="D0641A44"/>
    <w:lvl w:ilvl="0" w:tplc="180A9040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97C8">
      <w:start w:val="1"/>
      <w:numFmt w:val="bullet"/>
      <w:lvlText w:val="o"/>
      <w:lvlJc w:val="left"/>
      <w:pPr>
        <w:ind w:left="1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E7300">
      <w:start w:val="1"/>
      <w:numFmt w:val="bullet"/>
      <w:lvlText w:val="▪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A0D02">
      <w:start w:val="1"/>
      <w:numFmt w:val="bullet"/>
      <w:lvlText w:val="•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2B90C">
      <w:start w:val="1"/>
      <w:numFmt w:val="bullet"/>
      <w:lvlText w:val="o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E0D82">
      <w:start w:val="1"/>
      <w:numFmt w:val="bullet"/>
      <w:lvlText w:val="▪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44464">
      <w:start w:val="1"/>
      <w:numFmt w:val="bullet"/>
      <w:lvlText w:val="•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C2318">
      <w:start w:val="1"/>
      <w:numFmt w:val="bullet"/>
      <w:lvlText w:val="o"/>
      <w:lvlJc w:val="left"/>
      <w:pPr>
        <w:ind w:left="6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6E37C">
      <w:start w:val="1"/>
      <w:numFmt w:val="bullet"/>
      <w:lvlText w:val="▪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B49CB"/>
    <w:multiLevelType w:val="hybridMultilevel"/>
    <w:tmpl w:val="7F322572"/>
    <w:lvl w:ilvl="0" w:tplc="DD84B714">
      <w:start w:val="5"/>
      <w:numFmt w:val="lowerLetter"/>
      <w:lvlText w:val="%1)"/>
      <w:lvlJc w:val="left"/>
      <w:pPr>
        <w:ind w:left="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29658">
      <w:start w:val="1"/>
      <w:numFmt w:val="lowerLetter"/>
      <w:lvlText w:val="%2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9F30">
      <w:start w:val="1"/>
      <w:numFmt w:val="lowerRoman"/>
      <w:lvlText w:val="%3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4619C">
      <w:start w:val="1"/>
      <w:numFmt w:val="decimal"/>
      <w:lvlText w:val="%4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28378">
      <w:start w:val="1"/>
      <w:numFmt w:val="lowerLetter"/>
      <w:lvlText w:val="%5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2BC76">
      <w:start w:val="1"/>
      <w:numFmt w:val="lowerRoman"/>
      <w:lvlText w:val="%6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6A782">
      <w:start w:val="1"/>
      <w:numFmt w:val="decimal"/>
      <w:lvlText w:val="%7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CFA9C">
      <w:start w:val="1"/>
      <w:numFmt w:val="lowerLetter"/>
      <w:lvlText w:val="%8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027A8">
      <w:start w:val="1"/>
      <w:numFmt w:val="lowerRoman"/>
      <w:lvlText w:val="%9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072529">
    <w:abstractNumId w:val="1"/>
  </w:num>
  <w:num w:numId="2" w16cid:durableId="897595580">
    <w:abstractNumId w:val="3"/>
  </w:num>
  <w:num w:numId="3" w16cid:durableId="803012609">
    <w:abstractNumId w:val="0"/>
  </w:num>
  <w:num w:numId="4" w16cid:durableId="194793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DF"/>
    <w:rsid w:val="008B368C"/>
    <w:rsid w:val="00CD19DF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FF07"/>
  <w15:docId w15:val="{B3D3AC5C-4DF4-4ACC-B17B-B30AEBD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3" w:lineRule="auto"/>
      <w:ind w:left="370" w:right="191" w:hanging="37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"/>
      <w:ind w:left="10" w:hanging="10"/>
      <w:jc w:val="center"/>
      <w:outlineLvl w:val="0"/>
    </w:pPr>
    <w:rPr>
      <w:rFonts w:ascii="Arial" w:eastAsia="Arial" w:hAnsi="Arial" w:cs="Arial"/>
      <w:color w:val="D04437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384" w:lineRule="auto"/>
      <w:ind w:left="240" w:right="1888" w:firstLine="3091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D0443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RTD MIUR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RTD MIUR</dc:title>
  <dc:subject/>
  <dc:creator>preside</dc:creator>
  <cp:keywords/>
  <cp:lastModifiedBy>Antonio Fundaro</cp:lastModifiedBy>
  <cp:revision>2</cp:revision>
  <dcterms:created xsi:type="dcterms:W3CDTF">2022-07-30T17:03:00Z</dcterms:created>
  <dcterms:modified xsi:type="dcterms:W3CDTF">2022-07-30T17:03:00Z</dcterms:modified>
</cp:coreProperties>
</file>